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Source Sans Pro" w:cs="Source Sans Pro" w:eastAsia="Source Sans Pro" w:hAnsi="Source Sans Pro"/>
          <w:sz w:val="48"/>
          <w:szCs w:val="48"/>
        </w:rPr>
      </w:pPr>
      <w:r w:rsidDel="00000000" w:rsidR="00000000" w:rsidRPr="00000000">
        <w:rPr>
          <w:rFonts w:ascii="Source Sans Pro" w:cs="Source Sans Pro" w:eastAsia="Source Sans Pro" w:hAnsi="Source Sans Pro"/>
          <w:sz w:val="48"/>
          <w:szCs w:val="48"/>
          <w:rtl w:val="0"/>
        </w:rPr>
        <w:t xml:space="preserve">Experimental Protocol A (Teachers only!)</w:t>
      </w:r>
    </w:p>
    <w:p w:rsidR="00000000" w:rsidDel="00000000" w:rsidP="00000000" w:rsidRDefault="00000000" w:rsidRPr="00000000" w14:paraId="00000002">
      <w:pPr>
        <w:rPr>
          <w:rFonts w:ascii="Source Sans Pro" w:cs="Source Sans Pro" w:eastAsia="Source Sans Pro" w:hAnsi="Source Sans Pr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input 1.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input 2.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Flip the test switch to the up position.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channel 1.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channel 2.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Turn W1 all the way to the left.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Turn H2 all the way to the left.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Plug in pi.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Press button 3.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Turn dial A all the way to the right.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trigger 1.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shape.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Press button 1.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beta.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Flip the left coincidence switch to the up position.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sigma.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time.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Plug in output.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Flip the test switch to the down position.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00" w:lineRule="auto"/>
        <w:ind w:left="720" w:hanging="360"/>
        <w:rPr>
          <w:rFonts w:ascii="Source Sans Pro" w:cs="Source Sans Pro" w:eastAsia="Source Sans Pro" w:hAnsi="Source Sans Pro"/>
          <w:sz w:val="28"/>
          <w:szCs w:val="28"/>
          <w:u w:val="none"/>
        </w:rPr>
      </w:pPr>
      <w:r w:rsidDel="00000000" w:rsidR="00000000" w:rsidRPr="00000000">
        <w:rPr>
          <w:rFonts w:ascii="Source Sans Pro" w:cs="Source Sans Pro" w:eastAsia="Source Sans Pro" w:hAnsi="Source Sans Pro"/>
          <w:sz w:val="28"/>
          <w:szCs w:val="28"/>
          <w:rtl w:val="0"/>
        </w:rPr>
        <w:t xml:space="preserve"> Flip the power switch to the up position.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Source Sans Pro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